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2E" w:rsidRPr="00847B2E" w:rsidRDefault="00847B2E" w:rsidP="00847B2E">
      <w:pPr>
        <w:jc w:val="center"/>
        <w:rPr>
          <w:rFonts w:hint="eastAsia"/>
        </w:rPr>
      </w:pPr>
      <w:r w:rsidRPr="005645AE">
        <w:rPr>
          <w:rFonts w:ascii="標楷體" w:eastAsia="標楷體" w:hAnsi="標楷體" w:cstheme="majorBidi" w:hint="eastAsia"/>
          <w:b/>
          <w:bCs/>
          <w:noProof/>
          <w:sz w:val="36"/>
          <w:szCs w:val="36"/>
        </w:rPr>
        <w:t>國立臺灣海洋大學年度預算經費運用分配原則</w:t>
      </w:r>
      <w:r w:rsidRPr="005645AE">
        <w:rPr>
          <w:rFonts w:ascii="標楷體" w:eastAsia="標楷體" w:hAnsi="標楷體" w:cstheme="majorBidi" w:hint="eastAsia"/>
          <w:b/>
          <w:bCs/>
          <w:noProof/>
          <w:color w:val="FFFFFF"/>
          <w:sz w:val="16"/>
          <w:szCs w:val="16"/>
        </w:rPr>
        <w:t>(</w:t>
      </w:r>
      <w:bookmarkStart w:id="0" w:name="_GoBack"/>
      <w:bookmarkEnd w:id="0"/>
    </w:p>
    <w:p w:rsidR="008A1E77" w:rsidRDefault="008A1E77" w:rsidP="008A1E77">
      <w:pPr>
        <w:spacing w:line="360" w:lineRule="exact"/>
        <w:ind w:right="159"/>
        <w:jc w:val="right"/>
        <w:rPr>
          <w:rFonts w:ascii="標楷體" w:eastAsia="標楷體" w:hAnsi="標楷體" w:cs="Times New Roman"/>
          <w:noProof/>
          <w:sz w:val="16"/>
          <w:szCs w:val="16"/>
        </w:rPr>
      </w:pPr>
      <w:r w:rsidRPr="005645AE">
        <w:rPr>
          <w:rFonts w:ascii="標楷體" w:eastAsia="標楷體" w:hAnsi="標楷體" w:cs="Times New Roman" w:hint="eastAsia"/>
          <w:noProof/>
          <w:sz w:val="16"/>
          <w:szCs w:val="16"/>
        </w:rPr>
        <w:t>中華民國99年7月22日98學年度第2學期第2次校務基金管理委員會議通過</w:t>
      </w:r>
    </w:p>
    <w:p w:rsidR="008A1E77" w:rsidRDefault="008A1E77" w:rsidP="008A1E77">
      <w:pPr>
        <w:spacing w:line="360" w:lineRule="exact"/>
        <w:jc w:val="right"/>
        <w:rPr>
          <w:rFonts w:ascii="標楷體" w:eastAsia="標楷體" w:hAnsi="標楷體" w:cs="Times New Roman"/>
          <w:noProof/>
          <w:sz w:val="16"/>
          <w:szCs w:val="16"/>
        </w:rPr>
      </w:pPr>
      <w:r w:rsidRPr="005645AE">
        <w:rPr>
          <w:rFonts w:ascii="標楷體" w:eastAsia="標楷體" w:hAnsi="標楷體" w:cs="Times New Roman" w:hint="eastAsia"/>
          <w:noProof/>
          <w:sz w:val="16"/>
          <w:szCs w:val="16"/>
        </w:rPr>
        <w:t>中華民國</w:t>
      </w:r>
      <w:r>
        <w:rPr>
          <w:rFonts w:ascii="標楷體" w:eastAsia="標楷體" w:hAnsi="標楷體" w:cs="Times New Roman" w:hint="eastAsia"/>
          <w:noProof/>
          <w:sz w:val="16"/>
          <w:szCs w:val="16"/>
        </w:rPr>
        <w:t>107</w:t>
      </w:r>
      <w:r w:rsidRPr="005645AE">
        <w:rPr>
          <w:rFonts w:ascii="標楷體" w:eastAsia="標楷體" w:hAnsi="標楷體" w:cs="Times New Roman" w:hint="eastAsia"/>
          <w:noProof/>
          <w:sz w:val="16"/>
          <w:szCs w:val="16"/>
        </w:rPr>
        <w:t>年</w:t>
      </w:r>
      <w:r>
        <w:rPr>
          <w:rFonts w:ascii="標楷體" w:eastAsia="標楷體" w:hAnsi="標楷體" w:cs="Times New Roman" w:hint="eastAsia"/>
          <w:noProof/>
          <w:sz w:val="16"/>
          <w:szCs w:val="16"/>
        </w:rPr>
        <w:t>11</w:t>
      </w:r>
      <w:r w:rsidRPr="005645AE">
        <w:rPr>
          <w:rFonts w:ascii="標楷體" w:eastAsia="標楷體" w:hAnsi="標楷體" w:cs="Times New Roman" w:hint="eastAsia"/>
          <w:noProof/>
          <w:sz w:val="16"/>
          <w:szCs w:val="16"/>
        </w:rPr>
        <w:t>月</w:t>
      </w:r>
      <w:r>
        <w:rPr>
          <w:rFonts w:ascii="標楷體" w:eastAsia="標楷體" w:hAnsi="標楷體" w:cs="Times New Roman" w:hint="eastAsia"/>
          <w:noProof/>
          <w:sz w:val="16"/>
          <w:szCs w:val="16"/>
        </w:rPr>
        <w:t>7</w:t>
      </w:r>
      <w:r w:rsidRPr="005645AE">
        <w:rPr>
          <w:rFonts w:ascii="標楷體" w:eastAsia="標楷體" w:hAnsi="標楷體" w:cs="Times New Roman" w:hint="eastAsia"/>
          <w:noProof/>
          <w:sz w:val="16"/>
          <w:szCs w:val="16"/>
        </w:rPr>
        <w:t>日</w:t>
      </w:r>
      <w:r>
        <w:rPr>
          <w:rFonts w:ascii="標楷體" w:eastAsia="標楷體" w:hAnsi="標楷體" w:cs="Times New Roman" w:hint="eastAsia"/>
          <w:noProof/>
          <w:sz w:val="16"/>
          <w:szCs w:val="16"/>
        </w:rPr>
        <w:t>107</w:t>
      </w:r>
      <w:r w:rsidRPr="005645AE">
        <w:rPr>
          <w:rFonts w:ascii="標楷體" w:eastAsia="標楷體" w:hAnsi="標楷體" w:cs="Times New Roman" w:hint="eastAsia"/>
          <w:noProof/>
          <w:sz w:val="16"/>
          <w:szCs w:val="16"/>
        </w:rPr>
        <w:t>學年度第</w:t>
      </w:r>
      <w:r>
        <w:rPr>
          <w:rFonts w:ascii="標楷體" w:eastAsia="標楷體" w:hAnsi="標楷體" w:cs="Times New Roman" w:hint="eastAsia"/>
          <w:noProof/>
          <w:sz w:val="16"/>
          <w:szCs w:val="16"/>
        </w:rPr>
        <w:t>1</w:t>
      </w:r>
      <w:r w:rsidRPr="005645AE">
        <w:rPr>
          <w:rFonts w:ascii="標楷體" w:eastAsia="標楷體" w:hAnsi="標楷體" w:cs="Times New Roman" w:hint="eastAsia"/>
          <w:noProof/>
          <w:sz w:val="16"/>
          <w:szCs w:val="16"/>
        </w:rPr>
        <w:t>學期第</w:t>
      </w:r>
      <w:r>
        <w:rPr>
          <w:rFonts w:ascii="標楷體" w:eastAsia="標楷體" w:hAnsi="標楷體" w:cs="Times New Roman" w:hint="eastAsia"/>
          <w:noProof/>
          <w:sz w:val="16"/>
          <w:szCs w:val="16"/>
        </w:rPr>
        <w:t>1</w:t>
      </w:r>
      <w:r w:rsidRPr="005645AE">
        <w:rPr>
          <w:rFonts w:ascii="標楷體" w:eastAsia="標楷體" w:hAnsi="標楷體" w:cs="Times New Roman" w:hint="eastAsia"/>
          <w:noProof/>
          <w:sz w:val="16"/>
          <w:szCs w:val="16"/>
        </w:rPr>
        <w:t>次校務基金管理委員會議通過</w:t>
      </w:r>
    </w:p>
    <w:p w:rsidR="008A1E77" w:rsidRPr="0057252A" w:rsidRDefault="008A1E77" w:rsidP="008A1E77">
      <w:pPr>
        <w:spacing w:afterLines="100" w:after="360" w:line="360" w:lineRule="exact"/>
        <w:jc w:val="right"/>
        <w:rPr>
          <w:rFonts w:ascii="標楷體" w:eastAsia="標楷體" w:hAnsi="標楷體" w:cs="Times New Roman"/>
          <w:noProof/>
          <w:color w:val="FF0000"/>
          <w:sz w:val="16"/>
          <w:szCs w:val="16"/>
        </w:rPr>
      </w:pPr>
      <w:r w:rsidRPr="0057252A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中華民國1</w:t>
      </w:r>
      <w:r w:rsidR="00F264EE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13</w:t>
      </w:r>
      <w:r w:rsidRPr="0057252A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年</w:t>
      </w:r>
      <w:r w:rsidR="00F264EE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3</w:t>
      </w:r>
      <w:r w:rsidRPr="0057252A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月</w:t>
      </w:r>
      <w:r w:rsidR="00F264EE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14</w:t>
      </w:r>
      <w:r w:rsidRPr="0057252A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日1</w:t>
      </w:r>
      <w:r w:rsidR="00F264EE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12</w:t>
      </w:r>
      <w:r w:rsidRPr="0057252A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學年度第</w:t>
      </w:r>
      <w:r w:rsidR="00F264EE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2</w:t>
      </w:r>
      <w:r w:rsidRPr="0057252A">
        <w:rPr>
          <w:rFonts w:ascii="標楷體" w:eastAsia="標楷體" w:hAnsi="標楷體" w:cs="Times New Roman" w:hint="eastAsia"/>
          <w:noProof/>
          <w:color w:val="FF0000"/>
          <w:sz w:val="16"/>
          <w:szCs w:val="16"/>
        </w:rPr>
        <w:t>學期第1次校務基金管理委員會議通過</w:t>
      </w:r>
    </w:p>
    <w:p w:rsidR="008A1E77" w:rsidRPr="005645AE" w:rsidRDefault="008A1E77" w:rsidP="008A1E77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bCs/>
          <w:color w:val="000000"/>
          <w:szCs w:val="24"/>
          <w:lang w:val="de-DE"/>
        </w:rPr>
      </w:pPr>
      <w:r w:rsidRPr="005645AE">
        <w:rPr>
          <w:rFonts w:ascii="Times New Roman" w:eastAsia="標楷體" w:hAnsi="標楷體" w:cs="Times New Roman" w:hint="eastAsia"/>
          <w:bCs/>
          <w:color w:val="000000"/>
          <w:sz w:val="28"/>
          <w:szCs w:val="28"/>
          <w:lang w:val="de-DE"/>
        </w:rPr>
        <w:t>一、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本校</w:t>
      </w:r>
      <w:r w:rsidRPr="005645AE">
        <w:rPr>
          <w:rFonts w:ascii="標楷體" w:eastAsia="標楷體" w:hAnsi="標楷體" w:cs="Times New Roman"/>
          <w:szCs w:val="24"/>
        </w:rPr>
        <w:t>為促進校務發展，配合學校整體發展計畫，並有效運用及合理分配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年度預算</w:t>
      </w:r>
      <w:r w:rsidRPr="005645AE">
        <w:rPr>
          <w:rFonts w:ascii="標楷體" w:eastAsia="標楷體" w:hAnsi="標楷體" w:cs="Times New Roman"/>
          <w:szCs w:val="24"/>
        </w:rPr>
        <w:t>經費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，</w:t>
      </w:r>
      <w:r w:rsidRPr="005645AE">
        <w:rPr>
          <w:rFonts w:ascii="標楷體" w:eastAsia="標楷體" w:hAnsi="標楷體" w:cs="Times New Roman"/>
          <w:szCs w:val="24"/>
        </w:rPr>
        <w:t>以達成預期效益</w:t>
      </w:r>
      <w:r w:rsidRPr="005645AE">
        <w:rPr>
          <w:rFonts w:ascii="標楷體" w:eastAsia="標楷體" w:hAnsi="標楷體" w:cs="Times New Roman" w:hint="eastAsia"/>
          <w:szCs w:val="24"/>
        </w:rPr>
        <w:t>，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訂定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本原則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。</w:t>
      </w:r>
    </w:p>
    <w:p w:rsidR="008A1E77" w:rsidRPr="005645AE" w:rsidRDefault="008A1E77" w:rsidP="008A1E77">
      <w:pPr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bCs/>
          <w:color w:val="000000"/>
          <w:szCs w:val="24"/>
          <w:lang w:val="de-DE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二、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為利各單位提早規劃目標，</w:t>
      </w:r>
      <w:r w:rsidRPr="0057252A">
        <w:rPr>
          <w:rFonts w:ascii="標楷體" w:eastAsia="標楷體" w:hAnsi="標楷體" w:cs="Times New Roman" w:hint="eastAsia"/>
          <w:bCs/>
          <w:color w:val="000000" w:themeColor="text1"/>
          <w:szCs w:val="24"/>
          <w:lang w:val="de-DE"/>
        </w:rPr>
        <w:t>主</w:t>
      </w:r>
      <w:r w:rsidRPr="0057252A">
        <w:rPr>
          <w:rFonts w:ascii="標楷體" w:eastAsia="標楷體" w:hAnsi="標楷體" w:cs="Times New Roman"/>
          <w:bCs/>
          <w:color w:val="000000" w:themeColor="text1"/>
          <w:szCs w:val="24"/>
          <w:lang w:val="de-DE"/>
        </w:rPr>
        <w:t>計室於每年12月份</w:t>
      </w:r>
      <w:r w:rsidRPr="0057252A">
        <w:rPr>
          <w:rFonts w:ascii="標楷體" w:eastAsia="標楷體" w:hAnsi="標楷體" w:cs="Times New Roman" w:hint="eastAsia"/>
          <w:bCs/>
          <w:color w:val="000000" w:themeColor="text1"/>
          <w:szCs w:val="24"/>
          <w:lang w:val="de-DE" w:eastAsia="zh-HK"/>
        </w:rPr>
        <w:t>前</w:t>
      </w:r>
      <w:r w:rsidRPr="0057252A">
        <w:rPr>
          <w:rFonts w:ascii="標楷體" w:eastAsia="標楷體" w:hAnsi="標楷體" w:cs="Times New Roman"/>
          <w:bCs/>
          <w:color w:val="000000" w:themeColor="text1"/>
          <w:szCs w:val="24"/>
          <w:lang w:val="de-DE"/>
        </w:rPr>
        <w:t>依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本原則擬定次年度預算分配計畫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草案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，提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一級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主管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開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會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協商後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，提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送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校務基金管理委員會審議。</w:t>
      </w:r>
    </w:p>
    <w:p w:rsidR="008A1E77" w:rsidRPr="005645AE" w:rsidRDefault="008A1E77" w:rsidP="008A1E77">
      <w:pPr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bCs/>
          <w:color w:val="000000"/>
          <w:szCs w:val="24"/>
          <w:lang w:val="de-DE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三、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辦理年度預算分配，如預算案尚未奉立法院審議通過，預算審議結果如有刪減，在500萬元內，即於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當年度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校長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統籌</w:t>
      </w:r>
      <w:proofErr w:type="gramStart"/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保留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款下據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以減列。如超過500萬元，超過部分授權</w:t>
      </w:r>
      <w:r w:rsidRPr="002E6EE1">
        <w:rPr>
          <w:rFonts w:ascii="標楷體" w:eastAsia="標楷體" w:hAnsi="標楷體" w:cs="Times New Roman" w:hint="eastAsia"/>
          <w:bCs/>
          <w:color w:val="000000" w:themeColor="text1"/>
          <w:szCs w:val="24"/>
          <w:lang w:val="de-DE"/>
        </w:rPr>
        <w:t>主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計室專案簽請校長核准由各單位分配數內同比率核減，於下次會議時提報核備。</w:t>
      </w:r>
    </w:p>
    <w:p w:rsidR="008A1E77" w:rsidRPr="005645AE" w:rsidRDefault="008A1E77" w:rsidP="008A1E77">
      <w:pPr>
        <w:spacing w:line="440" w:lineRule="exact"/>
        <w:ind w:left="480" w:hangingChars="200" w:hanging="480"/>
        <w:jc w:val="both"/>
        <w:rPr>
          <w:rFonts w:ascii="標楷體" w:eastAsia="標楷體" w:hAnsi="標楷體" w:cs="Times New Roman"/>
          <w:bCs/>
          <w:color w:val="000000"/>
          <w:szCs w:val="24"/>
          <w:lang w:val="de-DE"/>
        </w:rPr>
      </w:pPr>
      <w:r w:rsidRPr="005645AE">
        <w:rPr>
          <w:rFonts w:ascii="標楷體" w:eastAsia="標楷體" w:hAnsi="標楷體" w:cs="Times New Roman" w:hint="eastAsia"/>
          <w:szCs w:val="24"/>
        </w:rPr>
        <w:t>四、</w:t>
      </w:r>
      <w:r w:rsidRPr="005645AE">
        <w:rPr>
          <w:rFonts w:ascii="標楷體" w:eastAsia="標楷體" w:hAnsi="標楷體" w:cs="Times New Roman"/>
          <w:szCs w:val="24"/>
        </w:rPr>
        <w:t>「經常門」經費運用，原則上用於當年度之教學、研究有關之推動事項。「資本門」經費使用，原則上用於充實及改善教學、研究軟硬體為優先，並以達成年度執行率為目標，各單位年度分配執行賸餘數納入校務基金。</w:t>
      </w:r>
    </w:p>
    <w:p w:rsidR="008A1E77" w:rsidRPr="005645AE" w:rsidRDefault="008A1E77" w:rsidP="008A1E77">
      <w:pPr>
        <w:spacing w:line="440" w:lineRule="exact"/>
        <w:jc w:val="both"/>
        <w:rPr>
          <w:rFonts w:ascii="標楷體" w:eastAsia="標楷體" w:hAnsi="標楷體" w:cs="Times New Roman"/>
          <w:bCs/>
          <w:color w:val="000000"/>
          <w:szCs w:val="24"/>
          <w:lang w:val="de-DE"/>
        </w:rPr>
      </w:pPr>
      <w:r w:rsidRPr="005645AE">
        <w:rPr>
          <w:rFonts w:ascii="標楷體" w:eastAsia="標楷體" w:hAnsi="標楷體" w:cs="Times New Roman" w:hint="eastAsia"/>
          <w:color w:val="000000"/>
          <w:szCs w:val="24"/>
        </w:rPr>
        <w:t>五、</w:t>
      </w:r>
      <w:r w:rsidRPr="005645AE">
        <w:rPr>
          <w:rFonts w:ascii="標楷體" w:eastAsia="標楷體" w:hAnsi="標楷體" w:cs="Times New Roman"/>
          <w:color w:val="000000"/>
          <w:szCs w:val="24"/>
        </w:rPr>
        <w:t>各項專款預算僅能專用於核定項目，賸餘數應結轉本校校務基金。</w:t>
      </w:r>
    </w:p>
    <w:p w:rsidR="008A1E77" w:rsidRPr="005645AE" w:rsidRDefault="008A1E77" w:rsidP="008A1E77">
      <w:pPr>
        <w:spacing w:line="440" w:lineRule="exact"/>
        <w:ind w:left="480" w:hangingChars="200" w:hanging="480"/>
        <w:jc w:val="both"/>
        <w:rPr>
          <w:rFonts w:ascii="標楷體" w:eastAsia="標楷體" w:hAnsi="標楷體" w:cs="Times New Roman"/>
          <w:bCs/>
          <w:color w:val="000000"/>
          <w:szCs w:val="24"/>
          <w:lang w:val="de-DE"/>
        </w:rPr>
      </w:pPr>
      <w:r w:rsidRPr="005645AE">
        <w:rPr>
          <w:rFonts w:ascii="標楷體" w:eastAsia="標楷體" w:hAnsi="標楷體" w:cs="Times New Roman" w:hint="eastAsia"/>
          <w:color w:val="000000"/>
          <w:szCs w:val="24"/>
          <w:lang w:val="de-DE"/>
        </w:rPr>
        <w:t>六、</w:t>
      </w:r>
      <w:r w:rsidRPr="005645AE">
        <w:rPr>
          <w:rFonts w:ascii="標楷體" w:eastAsia="標楷體" w:hAnsi="標楷體" w:cs="Times New Roman"/>
          <w:color w:val="000000"/>
          <w:szCs w:val="24"/>
          <w:lang w:val="de-DE"/>
        </w:rPr>
        <w:t>經費採</w:t>
      </w:r>
      <w:r w:rsidRPr="005645AE">
        <w:rPr>
          <w:rFonts w:ascii="標楷體" w:eastAsia="標楷體" w:hAnsi="標楷體" w:cs="Times New Roman"/>
          <w:color w:val="000000"/>
          <w:szCs w:val="24"/>
        </w:rPr>
        <w:t>購支出項目，應依</w:t>
      </w:r>
      <w:r w:rsidRPr="005645AE">
        <w:rPr>
          <w:rFonts w:ascii="標楷體" w:eastAsia="標楷體" w:hAnsi="標楷體" w:cs="Times New Roman" w:hint="eastAsia"/>
          <w:color w:val="000000"/>
          <w:szCs w:val="24"/>
        </w:rPr>
        <w:t>政府</w:t>
      </w:r>
      <w:r w:rsidRPr="005645AE">
        <w:rPr>
          <w:rFonts w:ascii="標楷體" w:eastAsia="標楷體" w:hAnsi="標楷體" w:cs="Times New Roman"/>
          <w:color w:val="000000"/>
          <w:szCs w:val="24"/>
        </w:rPr>
        <w:t>採購法規定辦理，集中採購項目，各單位應確實依規定辦理。</w:t>
      </w:r>
    </w:p>
    <w:p w:rsidR="008A1E77" w:rsidRPr="005645AE" w:rsidRDefault="008A1E77" w:rsidP="008A1E77">
      <w:pPr>
        <w:spacing w:line="440" w:lineRule="exact"/>
        <w:jc w:val="both"/>
        <w:rPr>
          <w:rFonts w:ascii="標楷體" w:eastAsia="標楷體" w:hAnsi="標楷體" w:cs="Times New Roman"/>
          <w:bCs/>
          <w:color w:val="000000"/>
          <w:szCs w:val="24"/>
          <w:lang w:val="de-DE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七、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年度預算分配原則：</w:t>
      </w:r>
    </w:p>
    <w:p w:rsidR="008A1E77" w:rsidRPr="005645AE" w:rsidRDefault="008A1E77" w:rsidP="008A1E77">
      <w:pPr>
        <w:spacing w:line="440" w:lineRule="exact"/>
        <w:ind w:leftChars="150" w:left="977" w:hangingChars="257" w:hanging="617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/>
          <w:bCs/>
          <w:color w:val="000000"/>
          <w:szCs w:val="24"/>
        </w:rPr>
        <w:t>（一）經常支出：</w:t>
      </w:r>
    </w:p>
    <w:p w:rsidR="008A1E77" w:rsidRPr="005645AE" w:rsidRDefault="008A1E77" w:rsidP="008A1E77">
      <w:pPr>
        <w:spacing w:line="440" w:lineRule="exact"/>
        <w:ind w:leftChars="374" w:left="1138" w:hangingChars="100" w:hanging="2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1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.教學研究及訓輔成本：（1）年度預算數扣減固定性用途專款為可分配數。本年度可分配數除上年度可分配數所得比率為本年度可分配數比率。各單位可分配數以上年度分配數乘以本年度可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分配率得之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>。（2）另各學院可分配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數先以上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>年度學院可分配總數乘以可分配率為本年度學院可分配總數。（3）各學院預算分配基準依據教育部基本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教學訓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>輔工作維持費計算公式：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fldChar w:fldCharType="begin"/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instrText xml:space="preserve"> </w:instrTex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instrText>eq \o\ac(○,</w:instrText>
      </w:r>
      <w:r w:rsidRPr="005645AE">
        <w:rPr>
          <w:rFonts w:ascii="標楷體" w:eastAsia="標楷體" w:hAnsi="標楷體" w:cs="Times New Roman" w:hint="eastAsia"/>
          <w:bCs/>
          <w:color w:val="000000"/>
          <w:position w:val="3"/>
          <w:szCs w:val="24"/>
        </w:rPr>
        <w:instrText>1</w:instrTex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instrText>)</w:instrTex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fldChar w:fldCharType="end"/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研究所第一類(理工農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醫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 xml:space="preserve">藝術等類)科 =【 (4,906 x 所數)  + ( 58.0  x 人數)】 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fldChar w:fldCharType="begin"/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instrText xml:space="preserve"> </w:instrTex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instrText>eq \o\ac(○,</w:instrText>
      </w:r>
      <w:r w:rsidRPr="005645AE">
        <w:rPr>
          <w:rFonts w:ascii="標楷體" w:eastAsia="標楷體" w:hAnsi="標楷體" w:cs="Times New Roman" w:hint="eastAsia"/>
          <w:bCs/>
          <w:color w:val="000000"/>
          <w:position w:val="3"/>
          <w:szCs w:val="24"/>
        </w:rPr>
        <w:instrText>2</w:instrTex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instrText>)</w:instrTex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fldChar w:fldCharType="end"/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研究所第二類(文法商管理統計社會科學等類)科 =【 (2,281 x 所數)  + ( 26.5 x 人數) 】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fldChar w:fldCharType="begin"/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instrText xml:space="preserve"> </w:instrTex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instrText>eq \o\ac(○,</w:instrText>
      </w:r>
      <w:r w:rsidRPr="005645AE">
        <w:rPr>
          <w:rFonts w:ascii="標楷體" w:eastAsia="標楷體" w:hAnsi="標楷體" w:cs="Times New Roman" w:hint="eastAsia"/>
          <w:bCs/>
          <w:color w:val="000000"/>
          <w:position w:val="3"/>
          <w:szCs w:val="24"/>
        </w:rPr>
        <w:instrText>3</w:instrTex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instrText>)</w:instrTex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fldChar w:fldCharType="end"/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大學部第一類(理工農藝術等類)科 = 【(3,031 x 系數) + (19.2x 人數) 】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fldChar w:fldCharType="begin"/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instrText xml:space="preserve"> </w:instrTex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instrText>eq \o\ac(○,</w:instrText>
      </w:r>
      <w:r w:rsidRPr="005645AE">
        <w:rPr>
          <w:rFonts w:ascii="標楷體" w:eastAsia="標楷體" w:hAnsi="標楷體" w:cs="Times New Roman" w:hint="eastAsia"/>
          <w:bCs/>
          <w:color w:val="000000"/>
          <w:position w:val="3"/>
          <w:szCs w:val="24"/>
        </w:rPr>
        <w:instrText>4</w:instrTex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instrText>)</w:instrTex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fldChar w:fldCharType="end"/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大學部第二類(文法商管理統計社會科學等類)科 =【(2,026 x 系數 ) + (8.9  x 人數 ) 】計算。（4）各學院所得年度預算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分配數後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>，自行分配所屬系所可分配預算數。（5）固定性用途專款除「人事費」及「折舊費用」外，由各業務主管單位提出需求數。分配各學院預算，所需學生人數由教務處提供最近學期之人數。</w:t>
      </w:r>
    </w:p>
    <w:p w:rsidR="008A1E77" w:rsidRPr="005645AE" w:rsidRDefault="008A1E77" w:rsidP="008A1E77">
      <w:pPr>
        <w:spacing w:line="440" w:lineRule="exact"/>
        <w:ind w:leftChars="374" w:left="1138" w:hangingChars="100" w:hanging="2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2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.建教合作成本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：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屬收支對列，支出在實際收入額度內支用，不分配。</w:t>
      </w:r>
    </w:p>
    <w:p w:rsidR="008A1E77" w:rsidRPr="005645AE" w:rsidRDefault="008A1E77" w:rsidP="008A1E77">
      <w:pPr>
        <w:spacing w:line="440" w:lineRule="exact"/>
        <w:ind w:leftChars="374" w:left="1138" w:hangingChars="100" w:hanging="2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lastRenderedPageBreak/>
        <w:t>3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.推廣教育成本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：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屬收支對列，支出在實際收入額度內支用，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併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>同碩士在職專班、進修學士班預算（含資本支出）由教務處另提分配審議案。</w:t>
      </w:r>
    </w:p>
    <w:p w:rsidR="008A1E77" w:rsidRPr="005645AE" w:rsidRDefault="008A1E77" w:rsidP="008A1E77">
      <w:pPr>
        <w:spacing w:line="440" w:lineRule="exact"/>
        <w:ind w:leftChars="374" w:left="1138" w:hangingChars="100" w:hanging="2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4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.學生公費及獎勵金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：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由學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務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>處召開協調會議分配，統籌控管。</w:t>
      </w:r>
    </w:p>
    <w:p w:rsidR="008A1E77" w:rsidRPr="005645AE" w:rsidRDefault="008A1E77" w:rsidP="008A1E77">
      <w:pPr>
        <w:spacing w:line="440" w:lineRule="exact"/>
        <w:ind w:leftChars="374" w:left="1138" w:hangingChars="100" w:hanging="2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5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.管理及總務費用：年度預算數，扣減人事費、專案人員酬勞、公共關係費、財產折舊及其他專案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需求數後全數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>供總務處統籌支應行政及全校校園維修等所需，不分配。</w:t>
      </w:r>
    </w:p>
    <w:p w:rsidR="008A1E77" w:rsidRPr="005645AE" w:rsidRDefault="008A1E77" w:rsidP="008A1E77">
      <w:pPr>
        <w:spacing w:line="440" w:lineRule="exact"/>
        <w:ind w:leftChars="374" w:left="1138" w:hangingChars="100" w:hanging="2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6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.研究發展及訓練費用：主要係教育部補助計畫支用數，屬收支對列，支出在實際收入額度內支用，不分配。</w:t>
      </w:r>
    </w:p>
    <w:p w:rsidR="008A1E77" w:rsidRPr="005645AE" w:rsidRDefault="008A1E77" w:rsidP="008A1E77">
      <w:pPr>
        <w:spacing w:line="440" w:lineRule="exact"/>
        <w:ind w:leftChars="374" w:left="1138" w:hangingChars="100" w:hanging="2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7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.其他業務費用-雜項業務費用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：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主要係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招生考試費用及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報名招生簡章支出，屬收支對列，支出在實際收入額度80％內支用，不分配。</w:t>
      </w:r>
    </w:p>
    <w:p w:rsidR="008A1E77" w:rsidRPr="005645AE" w:rsidRDefault="008A1E77" w:rsidP="008A1E77">
      <w:pPr>
        <w:spacing w:line="440" w:lineRule="exact"/>
        <w:ind w:leftChars="374" w:left="1138" w:hangingChars="100" w:hanging="2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8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.其他業務外費用-雜項費用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</w:rPr>
        <w:t>：</w:t>
      </w:r>
      <w:r w:rsidRPr="005645AE">
        <w:rPr>
          <w:rFonts w:ascii="標楷體" w:eastAsia="標楷體" w:hAnsi="標楷體" w:cs="Times New Roman"/>
          <w:bCs/>
          <w:color w:val="000000"/>
          <w:szCs w:val="24"/>
        </w:rPr>
        <w:t>主要係宿舍水電、清潔員費及捐款支出等，屬收支對列，支出在實際收入額度內支用，不分配。</w:t>
      </w:r>
    </w:p>
    <w:p w:rsidR="008A1E77" w:rsidRPr="005645AE" w:rsidRDefault="008A1E77" w:rsidP="008A1E77">
      <w:pPr>
        <w:spacing w:line="440" w:lineRule="exact"/>
        <w:ind w:leftChars="150" w:left="1080" w:hangingChars="300" w:hanging="72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/>
          <w:bCs/>
          <w:color w:val="000000"/>
          <w:szCs w:val="24"/>
        </w:rPr>
        <w:t>（二）資本支出：</w:t>
      </w:r>
      <w:r w:rsidR="0026257F" w:rsidRPr="0026257F">
        <w:rPr>
          <w:rFonts w:ascii="標楷體" w:eastAsia="標楷體" w:hAnsi="標楷體" w:cs="Times New Roman" w:hint="eastAsia"/>
          <w:bCs/>
          <w:color w:val="FF0000"/>
          <w:szCs w:val="24"/>
        </w:rPr>
        <w:t>依預算編列項目分配</w:t>
      </w:r>
      <w:r w:rsidRPr="0026257F">
        <w:rPr>
          <w:rFonts w:ascii="標楷體" w:eastAsia="標楷體" w:hAnsi="標楷體" w:cs="Times New Roman"/>
          <w:bCs/>
          <w:color w:val="FF0000"/>
          <w:szCs w:val="24"/>
        </w:rPr>
        <w:t>。</w:t>
      </w:r>
    </w:p>
    <w:p w:rsidR="008A1E77" w:rsidRPr="005645AE" w:rsidRDefault="008A1E77" w:rsidP="008A1E77">
      <w:pPr>
        <w:spacing w:line="440" w:lineRule="exact"/>
        <w:ind w:leftChars="150" w:left="1080" w:hangingChars="300" w:hanging="72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/>
          <w:bCs/>
          <w:color w:val="000000"/>
          <w:szCs w:val="24"/>
        </w:rPr>
        <w:t>（三）</w:t>
      </w:r>
      <w:proofErr w:type="gramStart"/>
      <w:r w:rsidRPr="005645AE">
        <w:rPr>
          <w:rFonts w:ascii="標楷體" w:eastAsia="標楷體" w:hAnsi="標楷體" w:cs="Times New Roman"/>
          <w:bCs/>
          <w:color w:val="000000"/>
          <w:szCs w:val="24"/>
        </w:rPr>
        <w:t>遞延借項</w:t>
      </w:r>
      <w:proofErr w:type="gramEnd"/>
      <w:r w:rsidRPr="005645AE">
        <w:rPr>
          <w:rFonts w:ascii="標楷體" w:eastAsia="標楷體" w:hAnsi="標楷體" w:cs="Times New Roman"/>
          <w:bCs/>
          <w:color w:val="000000"/>
          <w:szCs w:val="24"/>
        </w:rPr>
        <w:t>：屬本校原公務預算購置之房舍重大維修經費，專案簽核支用，統籌保留，不分配。</w:t>
      </w:r>
    </w:p>
    <w:p w:rsidR="008A1E77" w:rsidRPr="005645AE" w:rsidRDefault="008A1E77" w:rsidP="008A1E77">
      <w:pPr>
        <w:spacing w:line="440" w:lineRule="exact"/>
        <w:ind w:leftChars="150" w:left="1080" w:hangingChars="300" w:hanging="72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5645AE">
        <w:rPr>
          <w:rFonts w:ascii="標楷體" w:eastAsia="標楷體" w:hAnsi="標楷體" w:cs="Times New Roman"/>
          <w:bCs/>
          <w:color w:val="000000"/>
          <w:szCs w:val="24"/>
        </w:rPr>
        <w:t>（四）無形資產：為電腦軟體經費，專案簽核支用，統籌保留，不分配。</w:t>
      </w:r>
    </w:p>
    <w:p w:rsidR="008A1E77" w:rsidRPr="005645AE" w:rsidRDefault="008A1E77" w:rsidP="008A1E77">
      <w:pPr>
        <w:spacing w:line="400" w:lineRule="exact"/>
        <w:jc w:val="both"/>
        <w:rPr>
          <w:rFonts w:ascii="Times New Roman" w:eastAsia="新細明體" w:hAnsi="Times New Roman" w:cs="Times New Roman"/>
          <w:szCs w:val="24"/>
          <w:lang w:val="de-DE"/>
        </w:rPr>
      </w:pP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八、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本原則經校務基金管理委員會通過後</w:t>
      </w:r>
      <w:r w:rsidRPr="005645AE">
        <w:rPr>
          <w:rFonts w:ascii="標楷體" w:eastAsia="標楷體" w:hAnsi="標楷體" w:cs="Times New Roman" w:hint="eastAsia"/>
          <w:bCs/>
          <w:color w:val="000000"/>
          <w:szCs w:val="24"/>
          <w:lang w:val="de-DE"/>
        </w:rPr>
        <w:t>發布</w:t>
      </w:r>
      <w:r w:rsidRPr="005645AE">
        <w:rPr>
          <w:rFonts w:ascii="標楷體" w:eastAsia="標楷體" w:hAnsi="標楷體" w:cs="Times New Roman"/>
          <w:bCs/>
          <w:color w:val="000000"/>
          <w:szCs w:val="24"/>
          <w:lang w:val="de-DE"/>
        </w:rPr>
        <w:t>實施。</w:t>
      </w:r>
    </w:p>
    <w:p w:rsidR="008A1E77" w:rsidRPr="005645AE" w:rsidRDefault="008A1E77" w:rsidP="008A1E77">
      <w:pPr>
        <w:rPr>
          <w:rFonts w:ascii="Times New Roman" w:eastAsia="新細明體" w:hAnsi="Times New Roman" w:cs="Times New Roman"/>
          <w:szCs w:val="24"/>
          <w:lang w:val="de-DE"/>
        </w:rPr>
      </w:pPr>
    </w:p>
    <w:p w:rsidR="008A1E77" w:rsidRPr="008A1E77" w:rsidRDefault="008A1E77">
      <w:pPr>
        <w:rPr>
          <w:lang w:val="de-DE"/>
        </w:rPr>
      </w:pPr>
    </w:p>
    <w:sectPr w:rsidR="008A1E77" w:rsidRPr="008A1E77" w:rsidSect="005645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27" w:rsidRDefault="00300827" w:rsidP="00847B2E">
      <w:r>
        <w:separator/>
      </w:r>
    </w:p>
  </w:endnote>
  <w:endnote w:type="continuationSeparator" w:id="0">
    <w:p w:rsidR="00300827" w:rsidRDefault="00300827" w:rsidP="008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27" w:rsidRDefault="00300827" w:rsidP="00847B2E">
      <w:r>
        <w:separator/>
      </w:r>
    </w:p>
  </w:footnote>
  <w:footnote w:type="continuationSeparator" w:id="0">
    <w:p w:rsidR="00300827" w:rsidRDefault="00300827" w:rsidP="0084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1293A"/>
    <w:multiLevelType w:val="hybridMultilevel"/>
    <w:tmpl w:val="82CC3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5AE"/>
    <w:rsid w:val="001B0B3E"/>
    <w:rsid w:val="001B406B"/>
    <w:rsid w:val="00255BDC"/>
    <w:rsid w:val="0026257F"/>
    <w:rsid w:val="00271C22"/>
    <w:rsid w:val="00274CE1"/>
    <w:rsid w:val="002B2DE2"/>
    <w:rsid w:val="002B65BB"/>
    <w:rsid w:val="002E6EE1"/>
    <w:rsid w:val="00300827"/>
    <w:rsid w:val="00372542"/>
    <w:rsid w:val="00455442"/>
    <w:rsid w:val="005645AE"/>
    <w:rsid w:val="0057252A"/>
    <w:rsid w:val="005B163E"/>
    <w:rsid w:val="005D6C43"/>
    <w:rsid w:val="00637B26"/>
    <w:rsid w:val="00666750"/>
    <w:rsid w:val="007A1C40"/>
    <w:rsid w:val="00847B2E"/>
    <w:rsid w:val="008717CB"/>
    <w:rsid w:val="008A1E77"/>
    <w:rsid w:val="00972467"/>
    <w:rsid w:val="00A83C5E"/>
    <w:rsid w:val="00C3535B"/>
    <w:rsid w:val="00DE6F67"/>
    <w:rsid w:val="00E71ECA"/>
    <w:rsid w:val="00E9728B"/>
    <w:rsid w:val="00F2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976EC"/>
  <w15:docId w15:val="{807C9D47-3A6D-4413-8A4E-281EAC2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7B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7B2E"/>
    <w:rPr>
      <w:sz w:val="20"/>
      <w:szCs w:val="20"/>
    </w:rPr>
  </w:style>
  <w:style w:type="paragraph" w:styleId="a7">
    <w:name w:val="List Paragraph"/>
    <w:basedOn w:val="a"/>
    <w:uiPriority w:val="34"/>
    <w:qFormat/>
    <w:rsid w:val="00847B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1025</dc:creator>
  <cp:lastModifiedBy>1017</cp:lastModifiedBy>
  <cp:revision>34</cp:revision>
  <dcterms:created xsi:type="dcterms:W3CDTF">2018-11-08T23:45:00Z</dcterms:created>
  <dcterms:modified xsi:type="dcterms:W3CDTF">2024-10-18T00:28:00Z</dcterms:modified>
</cp:coreProperties>
</file>